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E" w:rsidRDefault="00676275" w:rsidP="00A14F07">
      <w:pPr>
        <w:jc w:val="center"/>
        <w:rPr>
          <w:rFonts w:ascii="宋体" w:eastAsia="宋体" w:hAnsi="宋体" w:cs="宋体"/>
          <w:b/>
          <w:bCs/>
          <w:color w:val="262626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262626"/>
          <w:kern w:val="0"/>
          <w:sz w:val="30"/>
          <w:szCs w:val="30"/>
        </w:rPr>
        <w:t>河北工业大学</w:t>
      </w:r>
      <w:r w:rsidR="007C014D" w:rsidRPr="00A52092">
        <w:rPr>
          <w:rFonts w:ascii="宋体" w:eastAsia="宋体" w:hAnsi="宋体" w:cs="宋体"/>
          <w:b/>
          <w:bCs/>
          <w:color w:val="262626"/>
          <w:kern w:val="0"/>
          <w:sz w:val="30"/>
          <w:szCs w:val="30"/>
        </w:rPr>
        <w:t>国家社科基金申报</w:t>
      </w:r>
      <w:r w:rsidR="007C014D">
        <w:rPr>
          <w:rFonts w:ascii="宋体" w:eastAsia="宋体" w:hAnsi="宋体" w:cs="宋体" w:hint="eastAsia"/>
          <w:b/>
          <w:bCs/>
          <w:color w:val="262626"/>
          <w:kern w:val="0"/>
          <w:sz w:val="30"/>
          <w:szCs w:val="30"/>
        </w:rPr>
        <w:t>工作流程图</w:t>
      </w:r>
    </w:p>
    <w:p w:rsidR="007C014D" w:rsidRDefault="004D1860">
      <w:r>
        <w:pict>
          <v:group id="_x0000_s1028" editas="canvas" style="width:460.7pt;height:652.65pt;mso-position-horizontal-relative:char;mso-position-vertical-relative:line" coordorigin="2359,2719" coordsize="7200,102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9;top:2719;width:7200;height:102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51;top:3561;width:1269;height:419">
              <v:textbox style="mso-next-textbox:#_x0000_s1029">
                <w:txbxContent>
                  <w:p w:rsidR="00A14F07" w:rsidRDefault="00A14F07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t>月启动工作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4043;top:2796;width:3659;height:1784">
              <v:stroke dashstyle="dash"/>
            </v:shape>
            <v:shape id="_x0000_s1031" type="#_x0000_t202" style="position:absolute;left:4259;top:2870;width:3262;height:419">
              <v:textbox style="mso-next-textbox:#_x0000_s1031">
                <w:txbxContent>
                  <w:p w:rsidR="00A14F07" w:rsidRDefault="00A14F07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学校：聘请专家，召开培训会</w:t>
                    </w:r>
                    <w:r w:rsidR="00034EA8">
                      <w:rPr>
                        <w:rFonts w:hint="eastAsia"/>
                      </w:rPr>
                      <w:t>（至少</w:t>
                    </w:r>
                    <w:r w:rsidR="00034EA8">
                      <w:rPr>
                        <w:rFonts w:hint="eastAsia"/>
                      </w:rPr>
                      <w:t>2</w:t>
                    </w:r>
                    <w:r w:rsidR="00034EA8">
                      <w:rPr>
                        <w:rFonts w:hint="eastAsia"/>
                      </w:rPr>
                      <w:t>次）</w:t>
                    </w:r>
                    <w:r w:rsidR="00FB660C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32" type="#_x0000_t202" style="position:absolute;left:4259;top:3380;width:3262;height:600">
              <v:textbox style="mso-next-textbox:#_x0000_s1032">
                <w:txbxContent>
                  <w:p w:rsidR="00A14F07" w:rsidRDefault="00A14F07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学院：做好下年度申报动员工作</w:t>
                    </w:r>
                    <w:r w:rsidR="001F7D5F">
                      <w:rPr>
                        <w:rFonts w:hint="eastAsia"/>
                      </w:rPr>
                      <w:t>，召开至少一次培训会。</w:t>
                    </w:r>
                  </w:p>
                </w:txbxContent>
              </v:textbox>
            </v:shape>
            <v:shape id="_x0000_s1033" type="#_x0000_t202" style="position:absolute;left:4259;top:4083;width:3262;height:418">
              <v:textbox style="mso-next-textbox:#_x0000_s1033">
                <w:txbxContent>
                  <w:p w:rsidR="00A14F07" w:rsidRDefault="00A14F07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申请人：</w:t>
                    </w:r>
                    <w:r w:rsidR="00034EA8">
                      <w:rPr>
                        <w:rFonts w:hint="eastAsia"/>
                      </w:rPr>
                      <w:t>参加培训会，做好选题准备工作</w:t>
                    </w:r>
                    <w:r w:rsidR="00FB660C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34" type="#_x0000_t202" style="position:absolute;left:2451;top:6031;width:1269;height:694">
              <v:textbox style="mso-next-textbox:#_x0000_s1034">
                <w:txbxContent>
                  <w:p w:rsidR="002C6B77" w:rsidRDefault="002C6B77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-11</w:t>
                    </w:r>
                    <w:r>
                      <w:rPr>
                        <w:rFonts w:hint="eastAsia"/>
                      </w:rPr>
                      <w:t>月第一轮评审工作</w:t>
                    </w:r>
                  </w:p>
                </w:txbxContent>
              </v:textbox>
            </v:shape>
            <v:shape id="_x0000_s1035" type="#_x0000_t109" style="position:absolute;left:4043;top:4988;width:3659;height:2571">
              <v:stroke dashstyle="dash"/>
            </v:shape>
            <v:shape id="_x0000_s1037" type="#_x0000_t202" style="position:absolute;left:4264;top:5105;width:3257;height:556">
              <v:textbox style="mso-next-textbox:#_x0000_s1037">
                <w:txbxContent>
                  <w:p w:rsidR="002F548F" w:rsidRDefault="002F548F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学校：协助各学院完成第一轮课题论证及评审工作</w:t>
                    </w:r>
                    <w:r w:rsidR="00FB660C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38" type="#_x0000_t202" style="position:absolute;left:4264;top:5728;width:3257;height:1107">
              <v:textbox style="mso-next-textbox:#_x0000_s1038">
                <w:txbxContent>
                  <w:p w:rsidR="002F548F" w:rsidRDefault="002F548F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学院：</w:t>
                    </w:r>
                    <w:r w:rsidR="001729CE">
                      <w:rPr>
                        <w:rFonts w:hint="eastAsia"/>
                      </w:rPr>
                      <w:t>聘请专家，至少召开</w:t>
                    </w:r>
                    <w:r w:rsidR="001729CE">
                      <w:rPr>
                        <w:rFonts w:hint="eastAsia"/>
                      </w:rPr>
                      <w:t>1</w:t>
                    </w:r>
                    <w:r w:rsidR="001729CE">
                      <w:rPr>
                        <w:rFonts w:hint="eastAsia"/>
                      </w:rPr>
                      <w:t>次专业领域国家社科基金选题与申请书撰写培训；</w:t>
                    </w:r>
                    <w:r>
                      <w:rPr>
                        <w:rFonts w:hint="eastAsia"/>
                      </w:rPr>
                      <w:t>组织完成第一轮课题论证及评审工作，向申请人反馈评审意见</w:t>
                    </w:r>
                    <w:r w:rsidR="00FB660C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39" type="#_x0000_t202" style="position:absolute;left:4264;top:6918;width:3257;height:569">
              <v:textbox style="mso-next-textbox:#_x0000_s1039">
                <w:txbxContent>
                  <w:p w:rsidR="002F548F" w:rsidRDefault="002F548F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申请人：完成申请书初稿撰写及第一轮修改</w:t>
                    </w:r>
                    <w:r w:rsidR="00FB660C"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40" type="#_x0000_t202" style="position:absolute;left:2451;top:8789;width:1269;height:893">
              <v:textbox style="mso-next-textbox:#_x0000_s1040">
                <w:txbxContent>
                  <w:p w:rsidR="002F548F" w:rsidRDefault="002F548F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-</w:t>
                    </w:r>
                    <w:r>
                      <w:rPr>
                        <w:rFonts w:hint="eastAsia"/>
                      </w:rPr>
                      <w:t>次年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月第</w:t>
                    </w:r>
                    <w:r w:rsidR="003E0C46">
                      <w:rPr>
                        <w:rFonts w:hint="eastAsia"/>
                      </w:rPr>
                      <w:t>二</w:t>
                    </w:r>
                    <w:r>
                      <w:rPr>
                        <w:rFonts w:hint="eastAsia"/>
                      </w:rPr>
                      <w:t>轮评审工作</w:t>
                    </w:r>
                  </w:p>
                </w:txbxContent>
              </v:textbox>
            </v:shape>
            <v:shape id="_x0000_s1041" type="#_x0000_t109" style="position:absolute;left:4043;top:7911;width:3659;height:2567">
              <v:stroke dashstyle="dash"/>
            </v:shape>
            <v:shape id="_x0000_s1042" type="#_x0000_t202" style="position:absolute;left:2453;top:11364;width:1269;height:742">
              <v:textbox style="mso-next-textbox:#_x0000_s1042">
                <w:txbxContent>
                  <w:p w:rsidR="002F548F" w:rsidRDefault="00FB660C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次年</w:t>
                    </w:r>
                    <w:r>
                      <w:rPr>
                        <w:rFonts w:hint="eastAsia"/>
                      </w:rPr>
                      <w:t>2</w:t>
                    </w:r>
                    <w:r w:rsidR="002F548F"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正式申报</w:t>
                    </w:r>
                    <w:r w:rsidR="002F548F">
                      <w:rPr>
                        <w:rFonts w:hint="eastAsia"/>
                      </w:rPr>
                      <w:t>工作</w:t>
                    </w:r>
                  </w:p>
                </w:txbxContent>
              </v:textbox>
            </v:shape>
            <v:shape id="_x0000_s1043" type="#_x0000_t202" style="position:absolute;left:4255;top:8007;width:3257;height:1396">
              <v:textbox style="mso-next-textbox:#_x0000_s1043">
                <w:txbxContent>
                  <w:p w:rsidR="00FB660C" w:rsidRDefault="00FB660C" w:rsidP="00D45F9F">
                    <w:r>
                      <w:rPr>
                        <w:rFonts w:hint="eastAsia"/>
                      </w:rPr>
                      <w:t>学校：外聘专家</w:t>
                    </w:r>
                    <w:r w:rsidR="00465348">
                      <w:rPr>
                        <w:rFonts w:hint="eastAsia"/>
                      </w:rPr>
                      <w:t>（</w:t>
                    </w:r>
                    <w:r w:rsidR="00465348" w:rsidRPr="00465348">
                      <w:rPr>
                        <w:rFonts w:hint="eastAsia"/>
                      </w:rPr>
                      <w:t>国家社科基金会议评审专家、作为主持人承担过</w:t>
                    </w:r>
                    <w:r w:rsidR="00465348" w:rsidRPr="00465348">
                      <w:t>2</w:t>
                    </w:r>
                    <w:r w:rsidR="00465348" w:rsidRPr="00465348">
                      <w:rPr>
                        <w:rFonts w:hint="eastAsia"/>
                      </w:rPr>
                      <w:t>项以上国家社科基金项目专家</w:t>
                    </w:r>
                    <w:r w:rsidR="00465348"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>完成第二轮评审工作；按照全国规划办及省规划办要求发布申报通知。</w:t>
                    </w:r>
                  </w:p>
                </w:txbxContent>
              </v:textbox>
            </v:shape>
            <v:shape id="_x0000_s1044" type="#_x0000_t202" style="position:absolute;left:4245;top:9497;width:3266;height:369">
              <v:textbox style="mso-next-textbox:#_x0000_s1044">
                <w:txbxContent>
                  <w:p w:rsidR="00FB660C" w:rsidRDefault="00FB660C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学院：指导申请人完成第二轮修改。</w:t>
                    </w:r>
                  </w:p>
                </w:txbxContent>
              </v:textbox>
            </v:shape>
            <v:shape id="_x0000_s1045" type="#_x0000_t202" style="position:absolute;left:4264;top:9948;width:3266;height:420">
              <v:textbox style="mso-next-textbox:#_x0000_s1045">
                <w:txbxContent>
                  <w:p w:rsidR="00FB660C" w:rsidRDefault="00FB660C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申请人：完成申请书第二轮修改。</w:t>
                    </w:r>
                  </w:p>
                </w:txbxContent>
              </v:textbox>
            </v:shape>
            <v:shape id="_x0000_s1046" type="#_x0000_t109" style="position:absolute;left:4044;top:10827;width:3658;height:2040">
              <v:stroke dashstyle="dash"/>
            </v:shape>
            <v:shape id="_x0000_s1047" type="#_x0000_t202" style="position:absolute;left:4255;top:10944;width:3259;height:420">
              <v:textbox style="mso-next-textbox:#_x0000_s1047">
                <w:txbxContent>
                  <w:p w:rsidR="00FB660C" w:rsidRDefault="00FB660C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学校：</w:t>
                    </w:r>
                    <w:r w:rsidR="001729CE">
                      <w:rPr>
                        <w:rFonts w:hint="eastAsia"/>
                      </w:rPr>
                      <w:t>做好形式审查，</w:t>
                    </w:r>
                    <w:r>
                      <w:rPr>
                        <w:rFonts w:hint="eastAsia"/>
                      </w:rPr>
                      <w:t>受理正式申报工作。</w:t>
                    </w:r>
                  </w:p>
                </w:txbxContent>
              </v:textbox>
            </v:shape>
            <v:shape id="_x0000_s1048" type="#_x0000_t202" style="position:absolute;left:4255;top:11459;width:3266;height:603">
              <v:textbox style="mso-next-textbox:#_x0000_s1048">
                <w:txbxContent>
                  <w:p w:rsidR="00FB660C" w:rsidRDefault="00FB660C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学院：按照通知要求及注意事项，做好形式审查及报送工作。</w:t>
                    </w:r>
                  </w:p>
                </w:txbxContent>
              </v:textbox>
            </v:shape>
            <v:shape id="_x0000_s1049" type="#_x0000_t202" style="position:absolute;left:4245;top:12201;width:3267;height:596">
              <v:textbox style="mso-next-textbox:#_x0000_s1049">
                <w:txbxContent>
                  <w:p w:rsidR="00FB660C" w:rsidRDefault="00FB660C" w:rsidP="00D45F9F">
                    <w:pPr>
                      <w:jc w:val="left"/>
                    </w:pPr>
                    <w:r>
                      <w:rPr>
                        <w:rFonts w:hint="eastAsia"/>
                      </w:rPr>
                      <w:t>申请人：按照通</w:t>
                    </w:r>
                    <w:bookmarkStart w:id="0" w:name="_GoBack"/>
                    <w:bookmarkEnd w:id="0"/>
                    <w:r>
                      <w:rPr>
                        <w:rFonts w:hint="eastAsia"/>
                      </w:rPr>
                      <w:t>知要求及注意事项，完成新版申请书填写。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0" type="#_x0000_t67" style="position:absolute;left:5621;top:4580;width:417;height:408">
              <v:textbox style="layout-flow:vertical-ideographic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1" type="#_x0000_t32" style="position:absolute;left:3720;top:3771;width:323;height:1" o:connectortype="straight">
              <v:stroke startarrow="block" endarrow="block"/>
            </v:shape>
            <v:shape id="_x0000_s1052" type="#_x0000_t32" style="position:absolute;left:3722;top:6354;width:322;height:4" o:connectortype="straight">
              <v:stroke startarrow="block" endarrow="block"/>
            </v:shape>
            <v:shape id="_x0000_s1053" type="#_x0000_t67" style="position:absolute;left:5621;top:7559;width:417;height:352">
              <v:textbox style="layout-flow:vertical-ideographic"/>
            </v:shape>
            <v:shape id="_x0000_s1054" type="#_x0000_t67" style="position:absolute;left:5620;top:10478;width:418;height:349">
              <v:textbox style="layout-flow:vertical-ideographic"/>
            </v:shape>
            <v:shape id="_x0000_s1055" type="#_x0000_t32" style="position:absolute;left:3720;top:9205;width:322;height:4" o:connectortype="straight">
              <v:stroke startarrow="block" endarrow="block"/>
            </v:shape>
            <v:shape id="_x0000_s1056" type="#_x0000_t32" style="position:absolute;left:3720;top:11753;width:322;height:4" o:connectortype="straight">
              <v:stroke startarrow="block" endarrow="block"/>
            </v:shape>
            <v:shape id="_x0000_s1058" type="#_x0000_t202" style="position:absolute;left:8089;top:3089;width:1369;height:1162">
              <v:textbox style="mso-next-textbox:#_x0000_s1058">
                <w:txbxContent>
                  <w:p w:rsidR="00A71A83" w:rsidRDefault="00A71A83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t>日</w:t>
                    </w:r>
                    <w:r>
                      <w:rPr>
                        <w:rFonts w:hint="eastAsia"/>
                      </w:rPr>
                      <w:t>-20</w:t>
                    </w:r>
                    <w:r>
                      <w:rPr>
                        <w:rFonts w:hint="eastAsia"/>
                      </w:rPr>
                      <w:t>日</w:t>
                    </w:r>
                    <w:r w:rsidR="00B5353D">
                      <w:rPr>
                        <w:rFonts w:hint="eastAsia"/>
                      </w:rPr>
                      <w:t>，各学院</w:t>
                    </w:r>
                    <w:r w:rsidR="00B03379">
                      <w:rPr>
                        <w:rFonts w:hint="eastAsia"/>
                      </w:rPr>
                      <w:t>向科研院报送培训工作安排表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60" type="#_x0000_t32" style="position:absolute;left:7702;top:3669;width:387;height:1" o:connectortype="straight">
              <v:stroke startarrow="block" endarrow="block"/>
            </v:shape>
            <v:shape id="_x0000_s1061" type="#_x0000_t202" style="position:absolute;left:8089;top:4887;width:1369;height:1144">
              <v:textbox style="mso-next-textbox:#_x0000_s1061">
                <w:txbxContent>
                  <w:p w:rsidR="00B5353D" w:rsidRDefault="00B5353D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1</w:t>
                    </w:r>
                    <w:r w:rsidR="003E0C46"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t>日</w:t>
                    </w:r>
                    <w:r>
                      <w:rPr>
                        <w:rFonts w:hint="eastAsia"/>
                      </w:rPr>
                      <w:t>-</w:t>
                    </w:r>
                    <w:r w:rsidR="003E0C46"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t>日，各学院向科研院报送</w:t>
                    </w:r>
                    <w:r w:rsidR="00B03379">
                      <w:rPr>
                        <w:rFonts w:hint="eastAsia"/>
                      </w:rPr>
                      <w:t>评审工作安排表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shape>
            <v:shape id="_x0000_s1063" type="#_x0000_t202" style="position:absolute;left:8089;top:6031;width:1369;height:1534">
              <v:textbox style="mso-next-textbox:#_x0000_s1063">
                <w:txbxContent>
                  <w:p w:rsidR="00B5353D" w:rsidRDefault="00B5353D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t>月</w:t>
                    </w:r>
                    <w:r w:rsidR="007366D7">
                      <w:rPr>
                        <w:rFonts w:hint="eastAsia"/>
                      </w:rPr>
                      <w:t>31</w:t>
                    </w:r>
                    <w:r>
                      <w:rPr>
                        <w:rFonts w:hint="eastAsia"/>
                      </w:rPr>
                      <w:t>日前，各学院向科研院报送完成第一次修改的申请书、评审意见及评审结果。</w:t>
                    </w:r>
                  </w:p>
                </w:txbxContent>
              </v:textbox>
            </v:shape>
            <v:shape id="_x0000_s1065" type="#_x0000_t202" style="position:absolute;left:8089;top:11459;width:1369;height:567">
              <v:textbox style="mso-next-textbox:#_x0000_s1065">
                <w:txbxContent>
                  <w:p w:rsidR="00B5353D" w:rsidRPr="00745E5E" w:rsidRDefault="00745E5E" w:rsidP="00D45F9F">
                    <w:r>
                      <w:rPr>
                        <w:rFonts w:hint="eastAsia"/>
                      </w:rPr>
                      <w:t>完成正式上报，等待立项结果。</w:t>
                    </w:r>
                  </w:p>
                </w:txbxContent>
              </v:textbox>
            </v:shape>
            <v:shape id="_x0000_s1066" type="#_x0000_t32" style="position:absolute;left:7702;top:11752;width:387;height:1" o:connectortype="straight">
              <v:stroke startarrow="block" endarrow="block"/>
            </v:shape>
            <v:shape id="_x0000_s1067" type="#_x0000_t202" style="position:absolute;left:8089;top:8588;width:1369;height:1094">
              <v:textbox style="mso-next-textbox:#_x0000_s1067">
                <w:txbxContent>
                  <w:p w:rsidR="00465348" w:rsidRDefault="007366D7" w:rsidP="00D45F9F">
                    <w:pPr>
                      <w:jc w:val="center"/>
                    </w:pPr>
                    <w:r>
                      <w:rPr>
                        <w:rFonts w:hint="eastAsia"/>
                      </w:rPr>
                      <w:t>1</w:t>
                    </w:r>
                    <w:r w:rsidR="00465348">
                      <w:rPr>
                        <w:rFonts w:hint="eastAsia"/>
                      </w:rPr>
                      <w:t>月</w:t>
                    </w:r>
                    <w:r w:rsidR="003E0C46">
                      <w:rPr>
                        <w:rFonts w:hint="eastAsia"/>
                      </w:rPr>
                      <w:t>20</w:t>
                    </w:r>
                    <w:r w:rsidR="00465348">
                      <w:rPr>
                        <w:rFonts w:hint="eastAsia"/>
                      </w:rPr>
                      <w:t>日前，科研院向学院及申请人反馈评审意见。</w:t>
                    </w:r>
                  </w:p>
                </w:txbxContent>
              </v:textbox>
            </v:shape>
            <v:shape id="_x0000_s1068" type="#_x0000_t32" style="position:absolute;left:7702;top:9209;width:387;height:1" o:connectortype="straight">
              <v:stroke startarrow="block" endarrow="block"/>
            </v:shape>
            <v:shape id="_x0000_s1074" type="#_x0000_t32" style="position:absolute;left:7702;top:5458;width:387;height:1" o:connectortype="straight">
              <v:stroke startarrow="block" endarrow="block"/>
            </v:shape>
            <v:shape id="_x0000_s1075" type="#_x0000_t32" style="position:absolute;left:7702;top:6835;width:387;height:1" o:connectortype="straight">
              <v:stroke startarrow="block" endarrow="block"/>
            </v:shape>
            <w10:wrap type="none"/>
            <w10:anchorlock/>
          </v:group>
        </w:pict>
      </w:r>
    </w:p>
    <w:sectPr w:rsidR="007C014D" w:rsidSect="00A14F07"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DE" w:rsidRDefault="001641DE" w:rsidP="00034EA8">
      <w:r>
        <w:separator/>
      </w:r>
    </w:p>
  </w:endnote>
  <w:endnote w:type="continuationSeparator" w:id="1">
    <w:p w:rsidR="001641DE" w:rsidRDefault="001641DE" w:rsidP="0003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DE" w:rsidRDefault="001641DE" w:rsidP="00034EA8">
      <w:r>
        <w:separator/>
      </w:r>
    </w:p>
  </w:footnote>
  <w:footnote w:type="continuationSeparator" w:id="1">
    <w:p w:rsidR="001641DE" w:rsidRDefault="001641DE" w:rsidP="00034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14D"/>
    <w:rsid w:val="0001599F"/>
    <w:rsid w:val="000231E1"/>
    <w:rsid w:val="00034EA8"/>
    <w:rsid w:val="000D21DE"/>
    <w:rsid w:val="000E1AB8"/>
    <w:rsid w:val="001641DE"/>
    <w:rsid w:val="001729CE"/>
    <w:rsid w:val="001F7D5F"/>
    <w:rsid w:val="002C6B77"/>
    <w:rsid w:val="002E7E45"/>
    <w:rsid w:val="002F548F"/>
    <w:rsid w:val="003A7A20"/>
    <w:rsid w:val="003C6692"/>
    <w:rsid w:val="003E0C46"/>
    <w:rsid w:val="004361FA"/>
    <w:rsid w:val="00465348"/>
    <w:rsid w:val="00483884"/>
    <w:rsid w:val="004D1860"/>
    <w:rsid w:val="004D5322"/>
    <w:rsid w:val="00500B8F"/>
    <w:rsid w:val="0058734E"/>
    <w:rsid w:val="005C7F75"/>
    <w:rsid w:val="00676275"/>
    <w:rsid w:val="00684F1B"/>
    <w:rsid w:val="006B3031"/>
    <w:rsid w:val="00721364"/>
    <w:rsid w:val="007366D7"/>
    <w:rsid w:val="00745E5E"/>
    <w:rsid w:val="007B6B52"/>
    <w:rsid w:val="007C014D"/>
    <w:rsid w:val="00802B38"/>
    <w:rsid w:val="00856641"/>
    <w:rsid w:val="008A35FB"/>
    <w:rsid w:val="00944676"/>
    <w:rsid w:val="00952497"/>
    <w:rsid w:val="00A14F07"/>
    <w:rsid w:val="00A71A83"/>
    <w:rsid w:val="00A83A40"/>
    <w:rsid w:val="00AB2E43"/>
    <w:rsid w:val="00B03379"/>
    <w:rsid w:val="00B5353D"/>
    <w:rsid w:val="00BC0591"/>
    <w:rsid w:val="00C01F79"/>
    <w:rsid w:val="00C207F6"/>
    <w:rsid w:val="00CF2C9C"/>
    <w:rsid w:val="00D22058"/>
    <w:rsid w:val="00D45F9F"/>
    <w:rsid w:val="00D54431"/>
    <w:rsid w:val="00EB016D"/>
    <w:rsid w:val="00EE36E7"/>
    <w:rsid w:val="00F72B9E"/>
    <w:rsid w:val="00FB46AC"/>
    <w:rsid w:val="00FB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0" type="connector" idref="#_x0000_s1075"/>
        <o:r id="V:Rule11" type="connector" idref="#_x0000_s1074">
          <o:proxy end="" idref="#_x0000_s1061" connectloc="1"/>
        </o:r>
        <o:r id="V:Rule12" type="connector" idref="#_x0000_s1068"/>
        <o:r id="V:Rule13" type="connector" idref="#_x0000_s1060">
          <o:proxy end="" idref="#_x0000_s1058" connectloc="1"/>
        </o:r>
        <o:r id="V:Rule14" type="connector" idref="#_x0000_s1051">
          <o:proxy start="" idref="#_x0000_s1029" connectloc="3"/>
        </o:r>
        <o:r id="V:Rule15" type="connector" idref="#_x0000_s1055"/>
        <o:r id="V:Rule16" type="connector" idref="#_x0000_s1052"/>
        <o:r id="V:Rule17" type="connector" idref="#_x0000_s1056"/>
        <o:r id="V:Rule18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E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5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A625-9AEB-4B7F-902F-5CE805B8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2015-09-18T08:08:00Z</cp:lastPrinted>
  <dcterms:created xsi:type="dcterms:W3CDTF">2015-09-16T01:47:00Z</dcterms:created>
  <dcterms:modified xsi:type="dcterms:W3CDTF">2015-09-18T08:15:00Z</dcterms:modified>
</cp:coreProperties>
</file>